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left"/>
      </w:pPr>
      <w:r>
        <w:rPr>
          <w:b/>
          <w:color w:val="0F2044"/>
          <w:sz w:val="22"/>
        </w:rPr>
        <w:t>THE FORCE FOR HEALTH NETWORK</w:t>
      </w:r>
    </w:p>
    <w:p>
      <w:pPr>
        <w:spacing w:after="240"/>
      </w:pPr>
      <w:r>
        <w:rPr>
          <w:i/>
          <w:color w:val="6B7A99"/>
          <w:sz w:val="18"/>
        </w:rPr>
        <w:t>Compliance · Adherence · Interoperability</w:t>
      </w:r>
    </w:p>
    <w:p>
      <w:pPr>
        <w:spacing w:after="40"/>
      </w:pPr>
      <w:r>
        <w:rPr>
          <w:b/>
          <w:color w:val="0F2044"/>
          <w:sz w:val="40"/>
        </w:rPr>
        <w:t>Accessibility Statement</w:t>
      </w:r>
    </w:p>
    <w:p>
      <w:pPr>
        <w:spacing w:after="320"/>
      </w:pPr>
      <w:r>
        <w:rPr>
          <w:i/>
          <w:color w:val="E8450A"/>
          <w:sz w:val="18"/>
        </w:rPr>
        <w:t>Version 1.0 (Draft for Legal Review) · April 17, 2026</w:t>
      </w:r>
    </w:p>
    <w:p>
      <w:pPr>
        <w:spacing w:after="360"/>
      </w:pPr>
      <w:r>
        <w:rPr>
          <w:i/>
          <w:color w:val="6B7A99"/>
          <w:sz w:val="18"/>
        </w:rPr>
        <w:t>NOTICE: This document is a v1 working draft prepared by The Force for Health Network for legal review. It reflects current platform practice and intent. Final binding language must be reviewed and approved by qualified legal counsel before publication.</w:t>
      </w:r>
    </w:p>
    <w:p>
      <w:pPr>
        <w:spacing w:after="120"/>
      </w:pPr>
      <w:r>
        <w:rPr>
          <w:sz w:val="21"/>
        </w:rPr>
        <w:t>The Force for Health Network is committed to ensuring digital accessibility for people with disabilities. We are continually improving the user experience for everyone and applying the relevant accessibility standards.</w:t>
      </w:r>
    </w:p>
    <w:p>
      <w:pPr>
        <w:spacing w:before="200" w:after="80"/>
      </w:pPr>
      <w:r>
        <w:rPr>
          <w:b/>
          <w:color w:val="0F2044"/>
          <w:sz w:val="26"/>
        </w:rPr>
        <w:t>1. Our Commitment</w:t>
      </w:r>
    </w:p>
    <w:p>
      <w:pPr>
        <w:spacing w:after="120"/>
      </w:pPr>
      <w:r>
        <w:rPr>
          <w:sz w:val="21"/>
        </w:rPr>
        <w:t>We are committed to making our platform accessible in accordance with the Americans with Disabilities Act (ADA) Title III expectations for places of public accommodation in digital form, and we aim to conform to the Web Content Accessibility Guidelines (WCAG) 2.1 Level AA.</w:t>
      </w:r>
    </w:p>
    <w:p>
      <w:pPr>
        <w:spacing w:before="200" w:after="80"/>
      </w:pPr>
      <w:r>
        <w:rPr>
          <w:b/>
          <w:color w:val="0F2044"/>
          <w:sz w:val="26"/>
        </w:rPr>
        <w:t>2. Measures We Take</w:t>
      </w:r>
    </w:p>
    <w:p>
      <w:pPr>
        <w:pStyle w:val="ListBullet"/>
      </w:pPr>
      <w:r>
        <w:rPr>
          <w:sz w:val="21"/>
        </w:rPr>
        <w:t>Semantic HTML, landmark regions, and proper heading hierarchy on every page.</w:t>
      </w:r>
    </w:p>
    <w:p>
      <w:pPr>
        <w:pStyle w:val="ListBullet"/>
      </w:pPr>
      <w:r>
        <w:rPr>
          <w:sz w:val="21"/>
        </w:rPr>
        <w:t>Keyboard operability for all interactive elements, including games, tabs, modals, and dropdowns.</w:t>
      </w:r>
    </w:p>
    <w:p>
      <w:pPr>
        <w:pStyle w:val="ListBullet"/>
      </w:pPr>
      <w:r>
        <w:rPr>
          <w:sz w:val="21"/>
        </w:rPr>
        <w:t>Visible focus indicators on all focusable elements.</w:t>
      </w:r>
    </w:p>
    <w:p>
      <w:pPr>
        <w:pStyle w:val="ListBullet"/>
      </w:pPr>
      <w:r>
        <w:rPr>
          <w:sz w:val="21"/>
        </w:rPr>
        <w:t>Minimum 4.5:1 contrast ratio for normal text and 3:1 for large text.</w:t>
      </w:r>
    </w:p>
    <w:p>
      <w:pPr>
        <w:pStyle w:val="ListBullet"/>
      </w:pPr>
      <w:r>
        <w:rPr>
          <w:sz w:val="21"/>
        </w:rPr>
        <w:t>Minimum 44×44 CSS pixel touch targets on mobile.</w:t>
      </w:r>
    </w:p>
    <w:p>
      <w:pPr>
        <w:pStyle w:val="ListBullet"/>
      </w:pPr>
      <w:r>
        <w:rPr>
          <w:sz w:val="21"/>
        </w:rPr>
        <w:t>ARIA labels and live regions for dynamic content and status messaging.</w:t>
      </w:r>
    </w:p>
    <w:p>
      <w:pPr>
        <w:pStyle w:val="ListBullet"/>
      </w:pPr>
      <w:r>
        <w:rPr>
          <w:sz w:val="21"/>
        </w:rPr>
        <w:t>Alternative text for meaningful images and captions for media.</w:t>
      </w:r>
    </w:p>
    <w:p>
      <w:pPr>
        <w:pStyle w:val="ListBullet"/>
      </w:pPr>
      <w:r>
        <w:rPr>
          <w:sz w:val="21"/>
        </w:rPr>
        <w:t>Respect for the user's prefers-reduced-motion setting; no motion-triggering content without a pause control.</w:t>
      </w:r>
    </w:p>
    <w:p>
      <w:pPr>
        <w:pStyle w:val="ListBullet"/>
      </w:pPr>
      <w:r>
        <w:rPr>
          <w:sz w:val="21"/>
        </w:rPr>
        <w:t>"Skip to main content" link available on keyboard focus.</w:t>
      </w:r>
    </w:p>
    <w:p>
      <w:pPr>
        <w:spacing w:before="200" w:after="80"/>
      </w:pPr>
      <w:r>
        <w:rPr>
          <w:b/>
          <w:color w:val="0F2044"/>
          <w:sz w:val="26"/>
        </w:rPr>
        <w:t>3. Compatibility</w:t>
      </w:r>
    </w:p>
    <w:p>
      <w:pPr>
        <w:spacing w:after="120"/>
      </w:pPr>
      <w:r>
        <w:rPr>
          <w:sz w:val="21"/>
        </w:rPr>
        <w:t>Our platform is designed to be compatible with recent versions of major web browsers and with widely used screen readers, including NVDA, JAWS, VoiceOver, and TalkBack.</w:t>
      </w:r>
    </w:p>
    <w:p>
      <w:pPr>
        <w:spacing w:before="200" w:after="80"/>
      </w:pPr>
      <w:r>
        <w:rPr>
          <w:b/>
          <w:color w:val="0F2044"/>
          <w:sz w:val="26"/>
        </w:rPr>
        <w:t>4. Known Limitations</w:t>
      </w:r>
    </w:p>
    <w:p>
      <w:pPr>
        <w:spacing w:after="120"/>
      </w:pPr>
      <w:r>
        <w:rPr>
          <w:sz w:val="21"/>
        </w:rPr>
        <w:t>Some legacy pages are being updated to match the current accessibility standard. A full WCAG 2.1 AA audit is in progress as of April 2026 and remediation items are tracked on the Compliance Audit Tracker. If you encounter an accessibility issue, please let us know — your feedback accelerates our remediation calendar.</w:t>
      </w:r>
    </w:p>
    <w:p>
      <w:pPr>
        <w:spacing w:before="200" w:after="80"/>
      </w:pPr>
      <w:r>
        <w:rPr>
          <w:b/>
          <w:color w:val="0F2044"/>
          <w:sz w:val="26"/>
        </w:rPr>
        <w:t>5. Feedback and Reporting</w:t>
      </w:r>
    </w:p>
    <w:p>
      <w:pPr>
        <w:spacing w:after="120"/>
      </w:pPr>
      <w:r>
        <w:rPr>
          <w:sz w:val="21"/>
        </w:rPr>
        <w:t>We welcome your feedback on the accessibility of The Force for Health Network. If you encounter an accessibility barrier, or if you need content in an alternative format, please contact us:</w:t>
      </w:r>
    </w:p>
    <w:p>
      <w:pPr>
        <w:spacing w:after="120"/>
      </w:pPr>
      <w:r>
        <w:rPr>
          <w:sz w:val="21"/>
        </w:rPr>
        <w:t>Email: accessibility@forceforhealth.com</w:t>
      </w:r>
    </w:p>
    <w:p>
      <w:pPr>
        <w:spacing w:after="120"/>
      </w:pPr>
      <w:r>
        <w:rPr>
          <w:sz w:val="21"/>
        </w:rPr>
        <w:t>We aim to respond to accessibility feedback within 2 business days.</w:t>
      </w:r>
    </w:p>
    <w:p>
      <w:pPr>
        <w:spacing w:before="200" w:after="80"/>
      </w:pPr>
      <w:r>
        <w:rPr>
          <w:b/>
          <w:color w:val="0F2044"/>
          <w:sz w:val="26"/>
        </w:rPr>
        <w:t>6. Assessment Methodology</w:t>
      </w:r>
    </w:p>
    <w:p>
      <w:pPr>
        <w:spacing w:after="120"/>
      </w:pPr>
      <w:r>
        <w:rPr>
          <w:sz w:val="21"/>
        </w:rPr>
        <w:t>Our team assesses accessibility using a combination of automated tools (axe-core, Lighthouse), manual keyboard and screen reader testing, and periodic third-party review. Audit findings and remediation status are documented in our Compliance Audit Tracker.</w:t>
      </w:r>
    </w:p>
    <w:p>
      <w:pPr>
        <w:spacing w:before="200" w:after="80"/>
      </w:pPr>
      <w:r>
        <w:rPr>
          <w:b/>
          <w:color w:val="0F2044"/>
          <w:sz w:val="26"/>
        </w:rPr>
        <w:t>7. Formal Complaints</w:t>
      </w:r>
    </w:p>
    <w:p>
      <w:pPr>
        <w:spacing w:after="120"/>
      </w:pPr>
      <w:r>
        <w:rPr>
          <w:sz w:val="21"/>
        </w:rPr>
        <w:t>If you are not satisfied with our response, you may file a complaint with the U.S. Department of Justice under Title III of the ADA, or with the U.S. Department of Education Office for Civil Rights where applicable to educational programs.</w:t>
      </w:r>
    </w:p>
    <w:p/>
    <w:p>
      <w:r>
        <w:rPr>
          <w:b/>
          <w:color w:val="0F2044"/>
          <w:sz w:val="20"/>
        </w:rPr>
        <w:t>Contact</w:t>
      </w:r>
    </w:p>
    <w:p>
      <w:pPr>
        <w:spacing w:after="0"/>
      </w:pPr>
      <w:r>
        <w:t>The Force for Health Network</w:t>
      </w:r>
    </w:p>
    <w:p>
      <w:pPr>
        <w:spacing w:after="0"/>
      </w:pPr>
      <w:r>
        <w:t>Compliance Office</w:t>
      </w:r>
    </w:p>
    <w:p>
      <w:pPr>
        <w:spacing w:after="0"/>
      </w:pPr>
      <w:r>
        <w:t>compliance@forceforhealth.com</w:t>
      </w:r>
    </w:p>
    <w:p>
      <w:pPr>
        <w:spacing w:after="0"/>
      </w:pPr>
      <w:r>
        <w:t>privacy@forceforhealth.com</w:t>
      </w:r>
    </w:p>
    <w:p>
      <w:pPr>
        <w:spacing w:after="240"/>
      </w:pPr>
      <w:r>
        <w:t>accessibility@forceforhealth.com</w:t>
      </w:r>
    </w:p>
    <w:p>
      <w:r>
        <w:rPr>
          <w:i/>
          <w:color w:val="6B7A99"/>
          <w:sz w:val="16"/>
        </w:rPr>
        <w:t>© 2026 The Force for Health Network. All rights reserved. The Force for Health Academy Foundation is a 501(c)(3) public charity, fiscally sponsored by Panorama Project Foundation.</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