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rPr>
          <w:b/>
          <w:color w:val="0F2044"/>
          <w:sz w:val="22"/>
        </w:rPr>
        <w:t>THE FORCE FOR HEALTH NETWORK</w:t>
      </w:r>
    </w:p>
    <w:p>
      <w:pPr>
        <w:spacing w:after="280"/>
      </w:pPr>
      <w:r>
        <w:rPr>
          <w:i/>
          <w:color w:val="6B7A99"/>
          <w:sz w:val="18"/>
        </w:rPr>
        <w:t>Compliance · Unblocker Packet</w:t>
      </w:r>
    </w:p>
    <w:p>
      <w:pPr>
        <w:spacing w:after="80"/>
      </w:pPr>
      <w:r>
        <w:rPr>
          <w:b/>
          <w:color w:val="0F2044"/>
          <w:sz w:val="36"/>
        </w:rPr>
        <w:t>WCAG 2.1 AA Accessibility Audit — Statement of Work</w:t>
      </w:r>
    </w:p>
    <w:p>
      <w:pPr>
        <w:spacing w:after="320"/>
      </w:pPr>
      <w:r>
        <w:rPr>
          <w:i/>
          <w:color w:val="E8450A"/>
          <w:sz w:val="18"/>
        </w:rPr>
        <w:t>Version 1.0 · April 17, 2026 · For Internal &amp; Vendor Use</w:t>
      </w:r>
    </w:p>
    <w:p>
      <w:pPr>
        <w:spacing w:after="120"/>
      </w:pPr>
      <w:r>
        <w:rPr>
          <w:sz w:val="21"/>
        </w:rPr>
        <w:t>This Statement of Work (SOW) scopes a full Web Content Accessibility Guidelines (WCAG) 2.1 Level AA audit of The Force for Health Network platform. It is designed to be handed to an external accessibility vendor OR executed internally by FFH Engineering and Design.</w:t>
      </w:r>
    </w:p>
    <w:p>
      <w:pPr>
        <w:spacing w:before="200" w:after="80"/>
      </w:pPr>
      <w:r>
        <w:rPr>
          <w:b/>
          <w:color w:val="0F2044"/>
          <w:sz w:val="26"/>
        </w:rPr>
        <w:t>1. Objective</w:t>
      </w:r>
    </w:p>
    <w:p>
      <w:pPr>
        <w:spacing w:after="120"/>
      </w:pPr>
      <w:r>
        <w:rPr>
          <w:sz w:val="21"/>
        </w:rPr>
        <w:t>Assess and document every public-facing and authenticated FFH page against WCAG 2.1 AA success criteria, identify barriers, and deliver a remediation plan with prioritized fixes. This audit fulfills Compliance Gap G-007 and supports ADA Title III and Section 508 alignment.</w:t>
      </w:r>
    </w:p>
    <w:p>
      <w:pPr>
        <w:spacing w:before="200" w:after="80"/>
      </w:pPr>
      <w:r>
        <w:rPr>
          <w:b/>
          <w:color w:val="0F2044"/>
          <w:sz w:val="26"/>
        </w:rPr>
        <w:t>2. Scope — Pages In Audit</w:t>
      </w:r>
    </w:p>
    <w:tbl>
      <w:tblPr>
        <w:tblStyle w:val="LightGrid"/>
        <w:tblW w:type="auto" w:w="0"/>
        <w:tblLook w:firstColumn="1" w:firstRow="1" w:lastColumn="0" w:lastRow="0" w:noHBand="0" w:noVBand="1" w:val="04A0"/>
      </w:tblPr>
      <w:tblGrid>
        <w:gridCol w:w="3264"/>
        <w:gridCol w:w="3264"/>
        <w:gridCol w:w="3264"/>
      </w:tblGrid>
      <w:tr>
        <w:tc>
          <w:tcPr>
            <w:tcW w:type="dxa" w:w="3264"/>
          </w:tcPr>
          <w:p>
            <w:r>
              <w:rPr>
                <w:b/>
                <w:color w:val="0F2044"/>
                <w:sz w:val="20"/>
              </w:rPr>
              <w:t>Priority</w:t>
            </w:r>
          </w:p>
        </w:tc>
        <w:tc>
          <w:tcPr>
            <w:tcW w:type="dxa" w:w="3264"/>
          </w:tcPr>
          <w:p>
            <w:r>
              <w:rPr>
                <w:b/>
                <w:color w:val="0F2044"/>
                <w:sz w:val="20"/>
              </w:rPr>
              <w:t>Page / Area</w:t>
            </w:r>
          </w:p>
        </w:tc>
        <w:tc>
          <w:tcPr>
            <w:tcW w:type="dxa" w:w="3264"/>
          </w:tcPr>
          <w:p>
            <w:r>
              <w:rPr>
                <w:b/>
                <w:color w:val="0F2044"/>
                <w:sz w:val="20"/>
              </w:rPr>
              <w:t>Rationale</w:t>
            </w:r>
          </w:p>
        </w:tc>
      </w:tr>
      <w:tr>
        <w:tc>
          <w:tcPr>
            <w:tcW w:type="dxa" w:w="3264"/>
          </w:tcPr>
          <w:p>
            <w:r>
              <w:rPr>
                <w:sz w:val="19"/>
              </w:rPr>
              <w:t>P1 — Critical</w:t>
            </w:r>
          </w:p>
        </w:tc>
        <w:tc>
          <w:tcPr>
            <w:tcW w:type="dxa" w:w="3264"/>
          </w:tcPr>
          <w:p>
            <w:r>
              <w:rPr>
                <w:sz w:val="19"/>
              </w:rPr>
              <w:t>Live It Trackers (PHI collection)</w:t>
            </w:r>
          </w:p>
        </w:tc>
        <w:tc>
          <w:tcPr>
            <w:tcW w:type="dxa" w:w="3264"/>
          </w:tcPr>
          <w:p>
            <w:r>
              <w:rPr>
                <w:sz w:val="19"/>
              </w:rPr>
              <w:t>Participants with disabilities must be able to submit health data</w:t>
            </w:r>
          </w:p>
        </w:tc>
      </w:tr>
      <w:tr>
        <w:tc>
          <w:tcPr>
            <w:tcW w:type="dxa" w:w="3264"/>
          </w:tcPr>
          <w:p>
            <w:r>
              <w:rPr>
                <w:sz w:val="19"/>
              </w:rPr>
              <w:t>P1 — Critical</w:t>
            </w:r>
          </w:p>
        </w:tc>
        <w:tc>
          <w:tcPr>
            <w:tcW w:type="dxa" w:w="3264"/>
          </w:tcPr>
          <w:p>
            <w:r>
              <w:rPr>
                <w:sz w:val="19"/>
              </w:rPr>
              <w:t>Login, Account Settings, Change Password</w:t>
            </w:r>
          </w:p>
        </w:tc>
        <w:tc>
          <w:tcPr>
            <w:tcW w:type="dxa" w:w="3264"/>
          </w:tcPr>
          <w:p>
            <w:r>
              <w:rPr>
                <w:sz w:val="19"/>
              </w:rPr>
              <w:t>Entry-point pages; no access means no access to anything</w:t>
            </w:r>
          </w:p>
        </w:tc>
      </w:tr>
      <w:tr>
        <w:tc>
          <w:tcPr>
            <w:tcW w:type="dxa" w:w="3264"/>
          </w:tcPr>
          <w:p>
            <w:r>
              <w:rPr>
                <w:sz w:val="19"/>
              </w:rPr>
              <w:t>P1 — Critical</w:t>
            </w:r>
          </w:p>
        </w:tc>
        <w:tc>
          <w:tcPr>
            <w:tcW w:type="dxa" w:w="3264"/>
          </w:tcPr>
          <w:p>
            <w:r>
              <w:rPr>
                <w:sz w:val="19"/>
              </w:rPr>
              <w:t>FFH-Compliance.html (public compliance page)</w:t>
            </w:r>
          </w:p>
        </w:tc>
        <w:tc>
          <w:tcPr>
            <w:tcW w:type="dxa" w:w="3264"/>
          </w:tcPr>
          <w:p>
            <w:r>
              <w:rPr>
                <w:sz w:val="19"/>
              </w:rPr>
              <w:t>Public trust signal; must itself be accessible</w:t>
            </w:r>
          </w:p>
        </w:tc>
      </w:tr>
      <w:tr>
        <w:tc>
          <w:tcPr>
            <w:tcW w:type="dxa" w:w="3264"/>
          </w:tcPr>
          <w:p>
            <w:r>
              <w:rPr>
                <w:sz w:val="19"/>
              </w:rPr>
              <w:t>P1 — Critical</w:t>
            </w:r>
          </w:p>
        </w:tc>
        <w:tc>
          <w:tcPr>
            <w:tcW w:type="dxa" w:w="3264"/>
          </w:tcPr>
          <w:p>
            <w:r>
              <w:rPr>
                <w:sz w:val="19"/>
              </w:rPr>
              <w:t>FFH-Super-Admin-Compliance.html</w:t>
            </w:r>
          </w:p>
        </w:tc>
        <w:tc>
          <w:tcPr>
            <w:tcW w:type="dxa" w:w="3264"/>
          </w:tcPr>
          <w:p>
            <w:r>
              <w:rPr>
                <w:sz w:val="19"/>
              </w:rPr>
              <w:t>Used by CEO and internal team; audit own backend</w:t>
            </w:r>
          </w:p>
        </w:tc>
      </w:tr>
      <w:tr>
        <w:tc>
          <w:tcPr>
            <w:tcW w:type="dxa" w:w="3264"/>
          </w:tcPr>
          <w:p>
            <w:r>
              <w:rPr>
                <w:sz w:val="19"/>
              </w:rPr>
              <w:t>P2 — High</w:t>
            </w:r>
          </w:p>
        </w:tc>
        <w:tc>
          <w:tcPr>
            <w:tcW w:type="dxa" w:w="3264"/>
          </w:tcPr>
          <w:p>
            <w:r>
              <w:rPr>
                <w:sz w:val="19"/>
              </w:rPr>
              <w:t>Prevention Bingo Cards (Cardiovascular, Respiratory, Protect &amp; Prevent)</w:t>
            </w:r>
          </w:p>
        </w:tc>
        <w:tc>
          <w:tcPr>
            <w:tcW w:type="dxa" w:w="3264"/>
          </w:tcPr>
          <w:p>
            <w:r>
              <w:rPr>
                <w:sz w:val="19"/>
              </w:rPr>
              <w:t>Gameplay accessibility; keyboard + screen reader</w:t>
            </w:r>
          </w:p>
        </w:tc>
      </w:tr>
      <w:tr>
        <w:tc>
          <w:tcPr>
            <w:tcW w:type="dxa" w:w="3264"/>
          </w:tcPr>
          <w:p>
            <w:r>
              <w:rPr>
                <w:sz w:val="19"/>
              </w:rPr>
              <w:t>P2 — High</w:t>
            </w:r>
          </w:p>
        </w:tc>
        <w:tc>
          <w:tcPr>
            <w:tcW w:type="dxa" w:w="3264"/>
          </w:tcPr>
          <w:p>
            <w:r>
              <w:rPr>
                <w:sz w:val="19"/>
              </w:rPr>
              <w:t>360 Human Explorer</w:t>
            </w:r>
          </w:p>
        </w:tc>
        <w:tc>
          <w:tcPr>
            <w:tcW w:type="dxa" w:w="3264"/>
          </w:tcPr>
          <w:p>
            <w:r>
              <w:rPr>
                <w:sz w:val="19"/>
              </w:rPr>
              <w:t>3D interaction requires alternative content paths</w:t>
            </w:r>
          </w:p>
        </w:tc>
      </w:tr>
      <w:tr>
        <w:tc>
          <w:tcPr>
            <w:tcW w:type="dxa" w:w="3264"/>
          </w:tcPr>
          <w:p>
            <w:r>
              <w:rPr>
                <w:sz w:val="19"/>
              </w:rPr>
              <w:t>P2 — High</w:t>
            </w:r>
          </w:p>
        </w:tc>
        <w:tc>
          <w:tcPr>
            <w:tcW w:type="dxa" w:w="3264"/>
          </w:tcPr>
          <w:p>
            <w:r>
              <w:rPr>
                <w:sz w:val="19"/>
              </w:rPr>
              <w:t>Marstronaut + Marstronaut Instrumentation Bingo + RWC Bingo</w:t>
            </w:r>
          </w:p>
        </w:tc>
        <w:tc>
          <w:tcPr>
            <w:tcW w:type="dxa" w:w="3264"/>
          </w:tcPr>
          <w:p>
            <w:r>
              <w:rPr>
                <w:sz w:val="19"/>
              </w:rPr>
              <w:t>Game series; shared patterns</w:t>
            </w:r>
          </w:p>
        </w:tc>
      </w:tr>
      <w:tr>
        <w:tc>
          <w:tcPr>
            <w:tcW w:type="dxa" w:w="3264"/>
          </w:tcPr>
          <w:p>
            <w:r>
              <w:rPr>
                <w:sz w:val="19"/>
              </w:rPr>
              <w:t>P2 — High</w:t>
            </w:r>
          </w:p>
        </w:tc>
        <w:tc>
          <w:tcPr>
            <w:tcW w:type="dxa" w:w="3264"/>
          </w:tcPr>
          <w:p>
            <w:r>
              <w:rPr>
                <w:sz w:val="19"/>
              </w:rPr>
              <w:t>Profile Page, Help Center</w:t>
            </w:r>
          </w:p>
        </w:tc>
        <w:tc>
          <w:tcPr>
            <w:tcW w:type="dxa" w:w="3264"/>
          </w:tcPr>
          <w:p>
            <w:r>
              <w:rPr>
                <w:sz w:val="19"/>
              </w:rPr>
              <w:t>High-traffic participant pages</w:t>
            </w:r>
          </w:p>
        </w:tc>
      </w:tr>
      <w:tr>
        <w:tc>
          <w:tcPr>
            <w:tcW w:type="dxa" w:w="3264"/>
          </w:tcPr>
          <w:p>
            <w:r>
              <w:rPr>
                <w:sz w:val="19"/>
              </w:rPr>
              <w:t>P3 — Medium</w:t>
            </w:r>
          </w:p>
        </w:tc>
        <w:tc>
          <w:tcPr>
            <w:tcW w:type="dxa" w:w="3264"/>
          </w:tcPr>
          <w:p>
            <w:r>
              <w:rPr>
                <w:sz w:val="19"/>
              </w:rPr>
              <w:t>Chamber of Health Systems pages (5 pages)</w:t>
            </w:r>
          </w:p>
        </w:tc>
        <w:tc>
          <w:tcPr>
            <w:tcW w:type="dxa" w:w="3264"/>
          </w:tcPr>
          <w:p>
            <w:r>
              <w:rPr>
                <w:sz w:val="19"/>
              </w:rPr>
              <w:t>B2B audience; typically AT-friendly but audit applies</w:t>
            </w:r>
          </w:p>
        </w:tc>
      </w:tr>
      <w:tr>
        <w:tc>
          <w:tcPr>
            <w:tcW w:type="dxa" w:w="3264"/>
          </w:tcPr>
          <w:p>
            <w:r>
              <w:rPr>
                <w:sz w:val="19"/>
              </w:rPr>
              <w:t>P3 — Medium</w:t>
            </w:r>
          </w:p>
        </w:tc>
        <w:tc>
          <w:tcPr>
            <w:tcW w:type="dxa" w:w="3264"/>
          </w:tcPr>
          <w:p>
            <w:r>
              <w:rPr>
                <w:sz w:val="19"/>
              </w:rPr>
              <w:t>Project Manager + CRM (planned)</w:t>
            </w:r>
          </w:p>
        </w:tc>
        <w:tc>
          <w:tcPr>
            <w:tcW w:type="dxa" w:w="3264"/>
          </w:tcPr>
          <w:p>
            <w:r>
              <w:rPr>
                <w:sz w:val="19"/>
              </w:rPr>
              <w:t>Will be added to scope once live</w:t>
            </w:r>
          </w:p>
        </w:tc>
      </w:tr>
    </w:tbl>
    <w:p>
      <w:pPr>
        <w:spacing w:after="120"/>
      </w:pPr>
    </w:p>
    <w:p>
      <w:pPr>
        <w:spacing w:before="200" w:after="80"/>
      </w:pPr>
      <w:r>
        <w:rPr>
          <w:b/>
          <w:color w:val="0F2044"/>
          <w:sz w:val="26"/>
        </w:rPr>
        <w:t>3. Methodology</w:t>
      </w:r>
    </w:p>
    <w:p>
      <w:pPr>
        <w:spacing w:before="120" w:after="40"/>
      </w:pPr>
      <w:r>
        <w:rPr>
          <w:b/>
          <w:color w:val="E8450A"/>
          <w:sz w:val="22"/>
        </w:rPr>
        <w:t>3.1 Automated Testing (Layer 1)</w:t>
      </w:r>
    </w:p>
    <w:p>
      <w:pPr>
        <w:pStyle w:val="ListBullet"/>
      </w:pPr>
      <w:r>
        <w:rPr>
          <w:sz w:val="21"/>
        </w:rPr>
        <w:t>Tools: axe-core, Lighthouse, WAVE, Pa11y</w:t>
      </w:r>
    </w:p>
    <w:p>
      <w:pPr>
        <w:pStyle w:val="ListBullet"/>
      </w:pPr>
      <w:r>
        <w:rPr>
          <w:sz w:val="21"/>
        </w:rPr>
        <w:t>Run on every page in scope; capture all violations by severity.</w:t>
      </w:r>
    </w:p>
    <w:p>
      <w:pPr>
        <w:pStyle w:val="ListBullet"/>
      </w:pPr>
      <w:r>
        <w:rPr>
          <w:sz w:val="21"/>
        </w:rPr>
        <w:t>Cross-reference with WCAG 2.1 AA success criteria (A and AA levels).</w:t>
      </w:r>
    </w:p>
    <w:p>
      <w:pPr>
        <w:spacing w:before="120" w:after="40"/>
      </w:pPr>
      <w:r>
        <w:rPr>
          <w:b/>
          <w:color w:val="E8450A"/>
          <w:sz w:val="22"/>
        </w:rPr>
        <w:t>3.2 Manual Keyboard Testing (Layer 2)</w:t>
      </w:r>
    </w:p>
    <w:p>
      <w:pPr>
        <w:pStyle w:val="ListBullet"/>
      </w:pPr>
      <w:r>
        <w:rPr>
          <w:sz w:val="21"/>
        </w:rPr>
        <w:t>Navigate each page using only Tab, Shift+Tab, Enter, Space, and arrow keys.</w:t>
      </w:r>
    </w:p>
    <w:p>
      <w:pPr>
        <w:pStyle w:val="ListBullet"/>
      </w:pPr>
      <w:r>
        <w:rPr>
          <w:sz w:val="21"/>
        </w:rPr>
        <w:t>Verify every interactive element is reachable AND operable.</w:t>
      </w:r>
    </w:p>
    <w:p>
      <w:pPr>
        <w:pStyle w:val="ListBullet"/>
      </w:pPr>
      <w:r>
        <w:rPr>
          <w:sz w:val="21"/>
        </w:rPr>
        <w:t>Confirm visible focus indicator on every focused element.</w:t>
      </w:r>
    </w:p>
    <w:p>
      <w:pPr>
        <w:pStyle w:val="ListBullet"/>
      </w:pPr>
      <w:r>
        <w:rPr>
          <w:sz w:val="21"/>
        </w:rPr>
        <w:t>Test skip-link behavior and landmark navigation.</w:t>
      </w:r>
    </w:p>
    <w:p>
      <w:pPr>
        <w:spacing w:before="120" w:after="40"/>
      </w:pPr>
      <w:r>
        <w:rPr>
          <w:b/>
          <w:color w:val="E8450A"/>
          <w:sz w:val="22"/>
        </w:rPr>
        <w:t>3.3 Screen Reader Testing (Layer 3)</w:t>
      </w:r>
    </w:p>
    <w:p>
      <w:pPr>
        <w:pStyle w:val="ListBullet"/>
      </w:pPr>
      <w:r>
        <w:rPr>
          <w:sz w:val="21"/>
        </w:rPr>
        <w:t>Test with NVDA + Firefox (Windows) and VoiceOver + Safari (macOS/iOS).</w:t>
      </w:r>
    </w:p>
    <w:p>
      <w:pPr>
        <w:pStyle w:val="ListBullet"/>
      </w:pPr>
      <w:r>
        <w:rPr>
          <w:sz w:val="21"/>
        </w:rPr>
        <w:t>Validate semantic structure, heading hierarchy, landmark regions, ARIA usage.</w:t>
      </w:r>
    </w:p>
    <w:p>
      <w:pPr>
        <w:pStyle w:val="ListBullet"/>
      </w:pPr>
      <w:r>
        <w:rPr>
          <w:sz w:val="21"/>
        </w:rPr>
        <w:t>Test live regions for dynamic content (toast notifications, timer warnings, coin updates).</w:t>
      </w:r>
    </w:p>
    <w:p>
      <w:pPr>
        <w:spacing w:before="120" w:after="40"/>
      </w:pPr>
      <w:r>
        <w:rPr>
          <w:b/>
          <w:color w:val="E8450A"/>
          <w:sz w:val="22"/>
        </w:rPr>
        <w:t>3.4 Manual Visual Testing (Layer 4)</w:t>
      </w:r>
    </w:p>
    <w:p>
      <w:pPr>
        <w:pStyle w:val="ListBullet"/>
      </w:pPr>
      <w:r>
        <w:rPr>
          <w:sz w:val="21"/>
        </w:rPr>
        <w:t>Color contrast sampling across every color combination (target 4.5:1 / 3:1).</w:t>
      </w:r>
    </w:p>
    <w:p>
      <w:pPr>
        <w:pStyle w:val="ListBullet"/>
      </w:pPr>
      <w:r>
        <w:rPr>
          <w:sz w:val="21"/>
        </w:rPr>
        <w:t>200% zoom test without loss of content or functionality.</w:t>
      </w:r>
    </w:p>
    <w:p>
      <w:pPr>
        <w:pStyle w:val="ListBullet"/>
      </w:pPr>
      <w:r>
        <w:rPr>
          <w:sz w:val="21"/>
        </w:rPr>
        <w:t>Reflow at 320px viewport.</w:t>
      </w:r>
    </w:p>
    <w:p>
      <w:pPr>
        <w:pStyle w:val="ListBullet"/>
      </w:pPr>
      <w:r>
        <w:rPr>
          <w:sz w:val="21"/>
        </w:rPr>
        <w:t>Touch target size measurement on mobile (min 44×44 CSS px).</w:t>
      </w:r>
    </w:p>
    <w:p>
      <w:pPr>
        <w:pStyle w:val="ListBullet"/>
      </w:pPr>
      <w:r>
        <w:rPr>
          <w:sz w:val="21"/>
        </w:rPr>
        <w:t>prefers-reduced-motion honor check for every animation.</w:t>
      </w:r>
    </w:p>
    <w:p>
      <w:pPr>
        <w:spacing w:before="120" w:after="40"/>
      </w:pPr>
      <w:r>
        <w:rPr>
          <w:b/>
          <w:color w:val="E8450A"/>
          <w:sz w:val="22"/>
        </w:rPr>
        <w:t>3.5 Content &amp; Cognitive Testing (Layer 5)</w:t>
      </w:r>
    </w:p>
    <w:p>
      <w:pPr>
        <w:pStyle w:val="ListBullet"/>
      </w:pPr>
      <w:r>
        <w:rPr>
          <w:sz w:val="21"/>
        </w:rPr>
        <w:t>Alt text quality review (not just presence).</w:t>
      </w:r>
    </w:p>
    <w:p>
      <w:pPr>
        <w:pStyle w:val="ListBullet"/>
      </w:pPr>
      <w:r>
        <w:rPr>
          <w:sz w:val="21"/>
        </w:rPr>
        <w:t>Form label association and error-message clarity.</w:t>
      </w:r>
    </w:p>
    <w:p>
      <w:pPr>
        <w:pStyle w:val="ListBullet"/>
      </w:pPr>
      <w:r>
        <w:rPr>
          <w:sz w:val="21"/>
        </w:rPr>
        <w:t>Plain-language readability scan for high-traffic pages.</w:t>
      </w:r>
    </w:p>
    <w:p>
      <w:pPr>
        <w:spacing w:before="200" w:after="80"/>
      </w:pPr>
      <w:r>
        <w:rPr>
          <w:b/>
          <w:color w:val="0F2044"/>
          <w:sz w:val="26"/>
        </w:rPr>
        <w:t>4. Deliverables</w:t>
      </w:r>
    </w:p>
    <w:p>
      <w:pPr>
        <w:pStyle w:val="ListBullet"/>
      </w:pPr>
      <w:r>
        <w:rPr>
          <w:sz w:val="21"/>
        </w:rPr>
        <w:t>Per-page report: violations by success criterion, severity (Blocker / Critical / Moderate / Minor), screenshot evidence, suggested fix.</w:t>
      </w:r>
    </w:p>
    <w:p>
      <w:pPr>
        <w:pStyle w:val="ListBullet"/>
      </w:pPr>
      <w:r>
        <w:rPr>
          <w:sz w:val="21"/>
        </w:rPr>
        <w:t>Rollup dashboard: compliance % per page, per success criterion, and overall platform.</w:t>
      </w:r>
    </w:p>
    <w:p>
      <w:pPr>
        <w:pStyle w:val="ListBullet"/>
      </w:pPr>
      <w:r>
        <w:rPr>
          <w:sz w:val="21"/>
        </w:rPr>
        <w:t>Prioritized remediation plan: Quick Wins (≤1 week), Standard (≤1 month), Architectural (≤1 quarter).</w:t>
      </w:r>
    </w:p>
    <w:p>
      <w:pPr>
        <w:pStyle w:val="ListBullet"/>
      </w:pPr>
      <w:r>
        <w:rPr>
          <w:sz w:val="21"/>
        </w:rPr>
        <w:t>Voluntary Product Accessibility Template (VPAT 2.4) — procurement-ready for schools, health systems, and government partners.</w:t>
      </w:r>
    </w:p>
    <w:p>
      <w:pPr>
        <w:pStyle w:val="ListBullet"/>
      </w:pPr>
      <w:r>
        <w:rPr>
          <w:sz w:val="21"/>
        </w:rPr>
        <w:t>Updated FFH Accessibility Statement reflecting validated claims.</w:t>
      </w:r>
    </w:p>
    <w:p>
      <w:pPr>
        <w:pStyle w:val="ListBullet"/>
      </w:pPr>
      <w:r>
        <w:rPr>
          <w:sz w:val="21"/>
        </w:rPr>
        <w:t>Fix verification pass after remediation: pages re-tested, compliance % confirmed.</w:t>
      </w:r>
    </w:p>
    <w:p>
      <w:pPr>
        <w:spacing w:before="200" w:after="80"/>
      </w:pPr>
      <w:r>
        <w:rPr>
          <w:b/>
          <w:color w:val="0F2044"/>
          <w:sz w:val="26"/>
        </w:rPr>
        <w:t>5. Timeline</w:t>
      </w:r>
    </w:p>
    <w:p>
      <w:pPr>
        <w:pStyle w:val="ListBullet"/>
      </w:pPr>
      <w:r>
        <w:rPr>
          <w:sz w:val="21"/>
        </w:rPr>
        <w:t>Kickoff + scope confirmation: Week 0</w:t>
      </w:r>
    </w:p>
    <w:p>
      <w:pPr>
        <w:pStyle w:val="ListBullet"/>
      </w:pPr>
      <w:r>
        <w:rPr>
          <w:sz w:val="21"/>
        </w:rPr>
        <w:t>Automated + manual testing: Weeks 1–3</w:t>
      </w:r>
    </w:p>
    <w:p>
      <w:pPr>
        <w:pStyle w:val="ListBullet"/>
      </w:pPr>
      <w:r>
        <w:rPr>
          <w:sz w:val="21"/>
        </w:rPr>
        <w:t>Draft report + prioritized plan: Week 4</w:t>
      </w:r>
    </w:p>
    <w:p>
      <w:pPr>
        <w:pStyle w:val="ListBullet"/>
      </w:pPr>
      <w:r>
        <w:rPr>
          <w:sz w:val="21"/>
        </w:rPr>
        <w:t>Remediation period (FFH Engineering): Weeks 5–8</w:t>
      </w:r>
    </w:p>
    <w:p>
      <w:pPr>
        <w:pStyle w:val="ListBullet"/>
      </w:pPr>
      <w:r>
        <w:rPr>
          <w:sz w:val="21"/>
        </w:rPr>
        <w:t>Verification + VPAT: Weeks 9–10</w:t>
      </w:r>
    </w:p>
    <w:p>
      <w:pPr>
        <w:pStyle w:val="ListBullet"/>
      </w:pPr>
      <w:r>
        <w:rPr>
          <w:sz w:val="21"/>
        </w:rPr>
        <w:t>Target completion: 2026-06-15 (aligned with Gap Tracker G-007 due date)</w:t>
      </w:r>
    </w:p>
    <w:p>
      <w:pPr>
        <w:spacing w:before="200" w:after="80"/>
      </w:pPr>
      <w:r>
        <w:rPr>
          <w:b/>
          <w:color w:val="0F2044"/>
          <w:sz w:val="26"/>
        </w:rPr>
        <w:t>6. Vendor Options &amp; Pricing</w:t>
      </w:r>
    </w:p>
    <w:p>
      <w:pPr>
        <w:pStyle w:val="ListBullet"/>
      </w:pPr>
      <w:r>
        <w:rPr>
          <w:sz w:val="21"/>
        </w:rPr>
        <w:t>Deque Systems (creators of axe-core): $15K–$40K depending on page count; gold standard, enterprise-grade.</w:t>
      </w:r>
    </w:p>
    <w:p>
      <w:pPr>
        <w:pStyle w:val="ListBullet"/>
      </w:pPr>
      <w:r>
        <w:rPr>
          <w:sz w:val="21"/>
        </w:rPr>
        <w:t>Level Access: $12K–$30K; strong procurement track record with government and education.</w:t>
      </w:r>
    </w:p>
    <w:p>
      <w:pPr>
        <w:pStyle w:val="ListBullet"/>
      </w:pPr>
      <w:r>
        <w:rPr>
          <w:sz w:val="21"/>
        </w:rPr>
        <w:t>TPGi (Vispero): $10K–$25K; solid mid-market option.</w:t>
      </w:r>
    </w:p>
    <w:p>
      <w:pPr>
        <w:pStyle w:val="ListBullet"/>
      </w:pPr>
      <w:r>
        <w:rPr>
          <w:sz w:val="21"/>
        </w:rPr>
        <w:t>The Viking &amp; The Lumberjack / independent consultants: $5K–$15K for solo expert; best value for mid-size platforms.</w:t>
      </w:r>
    </w:p>
    <w:p>
      <w:pPr>
        <w:pStyle w:val="ListBullet"/>
      </w:pPr>
      <w:r>
        <w:rPr>
          <w:sz w:val="21"/>
        </w:rPr>
        <w:t>In-house (FFH Engineering + Design): ~80 hours labor; free but diverts from product work. Recommended as a pre-audit pass before engaging a vendor.</w:t>
      </w:r>
    </w:p>
    <w:p>
      <w:pPr>
        <w:spacing w:before="200" w:after="80"/>
      </w:pPr>
      <w:r>
        <w:rPr>
          <w:b/>
          <w:color w:val="0F2044"/>
          <w:sz w:val="26"/>
        </w:rPr>
        <w:t>7. Acceptance Criteria</w:t>
      </w:r>
    </w:p>
    <w:p>
      <w:pPr>
        <w:pStyle w:val="ListBullet"/>
      </w:pPr>
      <w:r>
        <w:rPr>
          <w:sz w:val="21"/>
        </w:rPr>
        <w:t>Every page in scope has a documented compliance report.</w:t>
      </w:r>
    </w:p>
    <w:p>
      <w:pPr>
        <w:pStyle w:val="ListBullet"/>
      </w:pPr>
      <w:r>
        <w:rPr>
          <w:sz w:val="21"/>
        </w:rPr>
        <w:t>All Blocker and Critical issues have remediation owners and target dates.</w:t>
      </w:r>
    </w:p>
    <w:p>
      <w:pPr>
        <w:pStyle w:val="ListBullet"/>
      </w:pPr>
      <w:r>
        <w:rPr>
          <w:sz w:val="21"/>
        </w:rPr>
        <w:t>Platform-wide VPAT 2.4 delivered and acceptable to 3+ target procurement teams.</w:t>
      </w:r>
    </w:p>
    <w:p>
      <w:pPr>
        <w:pStyle w:val="ListBullet"/>
      </w:pPr>
      <w:r>
        <w:rPr>
          <w:sz w:val="21"/>
        </w:rPr>
        <w:t>FFH Accessibility Statement updated with validated, not aspirational, claims.</w:t>
      </w:r>
    </w:p>
    <w:p/>
    <w:p>
      <w:r>
        <w:rPr>
          <w:i/>
          <w:color w:val="6B7A99"/>
          <w:sz w:val="18"/>
        </w:rPr>
        <w:t>FFH Compliance Office · compliance@forceforhealth.com</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