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0F2044"/>
          <w:sz w:val="22"/>
        </w:rPr>
        <w:t>THE FORCE FOR HEALTH NETWORK</w:t>
      </w:r>
    </w:p>
    <w:p>
      <w:pPr>
        <w:spacing w:after="280"/>
      </w:pPr>
      <w:r>
        <w:rPr>
          <w:i/>
          <w:color w:val="6B7A99"/>
          <w:sz w:val="18"/>
        </w:rPr>
        <w:t>Compliance · Unblocker Packet</w:t>
      </w:r>
    </w:p>
    <w:p>
      <w:pPr>
        <w:spacing w:after="80"/>
      </w:pPr>
      <w:r>
        <w:rPr>
          <w:b/>
          <w:color w:val="0F2044"/>
          <w:sz w:val="36"/>
        </w:rPr>
        <w:t>Supabase BAA — Request Email &amp; 5-Step Checklist</w:t>
      </w:r>
    </w:p>
    <w:p>
      <w:pPr>
        <w:spacing w:after="320"/>
      </w:pPr>
      <w:r>
        <w:rPr>
          <w:i/>
          <w:color w:val="E8450A"/>
          <w:sz w:val="18"/>
        </w:rPr>
        <w:t>Version 1.0 · April 17, 2026 · For Internal &amp; Vendor Use</w:t>
      </w:r>
    </w:p>
    <w:p>
      <w:pPr>
        <w:spacing w:after="120"/>
      </w:pPr>
      <w:r>
        <w:rPr>
          <w:sz w:val="21"/>
        </w:rPr>
        <w:t>Supabase offers a Business Associate Agreement (BAA) on the Pro plan ($25/mo) and higher. FFH currently runs on the free tier for Live It Trackers and Project Manager, which is not HIPAA-covered. This packet provides the request email and the 5-step path to BAA signature.</w:t>
      </w:r>
    </w:p>
    <w:p>
      <w:pPr>
        <w:spacing w:before="200" w:after="80"/>
      </w:pPr>
      <w:r>
        <w:rPr>
          <w:b/>
          <w:color w:val="0F2044"/>
          <w:sz w:val="26"/>
        </w:rPr>
        <w:t>1. Action Items (This Week)</w:t>
      </w:r>
    </w:p>
    <w:p>
      <w:pPr>
        <w:pStyle w:val="ListNumber"/>
      </w:pPr>
      <w:r>
        <w:rPr>
          <w:sz w:val="21"/>
        </w:rPr>
        <w:t>Upgrade the FFH Supabase project from Free to Pro in the dashboard (Project Settings → Billing). Cost: $25/month/project.</w:t>
      </w:r>
    </w:p>
    <w:p>
      <w:pPr>
        <w:pStyle w:val="ListNumber"/>
      </w:pPr>
      <w:r>
        <w:rPr>
          <w:sz w:val="21"/>
        </w:rPr>
        <w:t>Open a request at https://supabase.com/dashboard/support with the message template below to initiate the BAA.</w:t>
      </w:r>
    </w:p>
    <w:p>
      <w:pPr>
        <w:pStyle w:val="ListNumber"/>
      </w:pPr>
      <w:r>
        <w:rPr>
          <w:sz w:val="21"/>
        </w:rPr>
        <w:t>Sign the BAA when Supabase delivers it (DocuSign or in-dashboard). Route to FFH compliance@ for counter-signature.</w:t>
      </w:r>
    </w:p>
    <w:p>
      <w:pPr>
        <w:pStyle w:val="ListNumber"/>
      </w:pPr>
      <w:r>
        <w:rPr>
          <w:sz w:val="21"/>
        </w:rPr>
        <w:t>Store the executed BAA in Compliance/Vendor-BAAs/Supabase-BAA-2026.pdf and add a row to the Vendors &amp; BAAs tab of the Compliance Audit Tracker.</w:t>
      </w:r>
    </w:p>
    <w:p>
      <w:pPr>
        <w:pStyle w:val="ListNumber"/>
      </w:pPr>
      <w:r>
        <w:rPr>
          <w:sz w:val="21"/>
        </w:rPr>
        <w:t>Flip G-004 to PASS in the Gap Tracker and post a status update on the Super Admin Compliance page.</w:t>
      </w:r>
    </w:p>
    <w:p>
      <w:pPr>
        <w:spacing w:before="200" w:after="80"/>
      </w:pPr>
      <w:r>
        <w:rPr>
          <w:b/>
          <w:color w:val="0F2044"/>
          <w:sz w:val="26"/>
        </w:rPr>
        <w:t>2. Email Template — Copy, Paste, Send</w:t>
      </w:r>
    </w:p>
    <w:p>
      <w:pPr>
        <w:spacing w:before="120" w:after="40"/>
      </w:pPr>
      <w:r>
        <w:rPr>
          <w:b/>
          <w:color w:val="E8450A"/>
          <w:sz w:val="22"/>
        </w:rPr>
        <w:t>To:</w:t>
      </w:r>
    </w:p>
    <w:p>
      <w:pPr>
        <w:spacing w:after="160"/>
        <w:ind w:left="432"/>
      </w:pPr>
      <w:r>
        <w:rPr>
          <w:rFonts w:ascii="Consolas" w:hAnsi="Consolas"/>
          <w:sz w:val="19"/>
        </w:rPr>
        <w:t>privacy@supabase.io</w:t>
        <w:br/>
        <w:t>(and submit the same text via https://supabase.com/dashboard/support)</w:t>
      </w:r>
    </w:p>
    <w:p>
      <w:pPr>
        <w:spacing w:before="120" w:after="40"/>
      </w:pPr>
      <w:r>
        <w:rPr>
          <w:b/>
          <w:color w:val="E8450A"/>
          <w:sz w:val="22"/>
        </w:rPr>
        <w:t>Subject:</w:t>
      </w:r>
    </w:p>
    <w:p>
      <w:pPr>
        <w:spacing w:after="160"/>
        <w:ind w:left="432"/>
      </w:pPr>
      <w:r>
        <w:rPr>
          <w:rFonts w:ascii="Consolas" w:hAnsi="Consolas"/>
          <w:sz w:val="19"/>
        </w:rPr>
        <w:t>BAA Request — The Force for Health Network — Pro Plan HIPAA Coverage</w:t>
      </w:r>
    </w:p>
    <w:p>
      <w:pPr>
        <w:spacing w:before="120" w:after="40"/>
      </w:pPr>
      <w:r>
        <w:rPr>
          <w:b/>
          <w:color w:val="E8450A"/>
          <w:sz w:val="22"/>
        </w:rPr>
        <w:t>Body:</w:t>
      </w:r>
    </w:p>
    <w:p>
      <w:pPr>
        <w:spacing w:after="160"/>
        <w:ind w:left="432"/>
      </w:pPr>
      <w:r>
        <w:rPr>
          <w:rFonts w:ascii="Consolas" w:hAnsi="Consolas"/>
          <w:sz w:val="19"/>
        </w:rPr>
        <w:t>Hello Supabase Privacy Team,</w:t>
        <w:br/>
        <w:br/>
        <w:t>The Force for Health Network (FFH) operates a community prevention platform</w:t>
        <w:br/>
        <w:t>that handles Protected Health Information (PHI) under HIPAA. We run a</w:t>
        <w:br/>
        <w:t>production Supabase project on the Pro plan (organization: [YOUR-ORG-SLUG],</w:t>
        <w:br/>
        <w:t>project: [YOUR-PROJECT-ID]) and would like to execute a Business Associate</w:t>
        <w:br/>
        <w:t>Agreement covering that project.</w:t>
        <w:br/>
        <w:br/>
        <w:t>Key details:</w:t>
        <w:br/>
        <w:t>• Entity:       The Force for Health Network</w:t>
        <w:br/>
        <w:t>• Role:         Business Associate to downstream Covered Entities</w:t>
        <w:br/>
        <w:t>• Plan:         Pro (upgraded [DATE])</w:t>
        <w:br/>
        <w:t>• Data types:   PHI (health tracking data, Live It Trackers) and FERPA-</w:t>
        <w:br/>
        <w:t xml:space="preserve">                protected educational records (Project Manager IDEAS boards)</w:t>
        <w:br/>
        <w:t>• Contact:      Lucy Howell, CEO</w:t>
        <w:br/>
        <w:t xml:space="preserve">                lucy@theforceforhealth.com</w:t>
        <w:br/>
        <w:t xml:space="preserve">                compliance@forceforhealth.com</w:t>
        <w:br/>
        <w:br/>
        <w:t>Please send us your standard BAA for review and signature. If Supabase</w:t>
        <w:br/>
        <w:t>requires our template instead, let me know and we will provide it.</w:t>
        <w:br/>
        <w:br/>
        <w:t>Additional safeguards already in place on our side:</w:t>
        <w:br/>
        <w:t>• AES-256 encryption at rest (Supabase default)</w:t>
        <w:br/>
        <w:t>• TLS 1.2+ in transit</w:t>
        <w:br/>
        <w:t>• Row-Level Security policies on every PHI/FERPA table</w:t>
        <w:br/>
        <w:t>• JWT-based session auth with 30-minute inactivity timeout</w:t>
        <w:br/>
        <w:t>• Immutable audit_log table on every sensitive data write</w:t>
        <w:br/>
        <w:t>• PHI_SAFE_MODE guard preventing PHI in client localStorage</w:t>
        <w:br/>
        <w:t>• Granular consent_records for HIPAA, FERPA, COPPA, GDPR</w:t>
        <w:br/>
        <w:br/>
        <w:t>Thank you — we look forward to your response.</w:t>
        <w:br/>
        <w:br/>
        <w:t>Best regards,</w:t>
        <w:br/>
        <w:t>Lucy Howell</w:t>
        <w:br/>
        <w:t>CEO, The Force for Health Network</w:t>
        <w:br/>
        <w:t>lucy@theforceforhealth.com</w:t>
      </w:r>
    </w:p>
    <w:p>
      <w:pPr>
        <w:spacing w:before="200" w:after="80"/>
      </w:pPr>
      <w:r>
        <w:rPr>
          <w:b/>
          <w:color w:val="0F2044"/>
          <w:sz w:val="26"/>
        </w:rPr>
        <w:t>3. Before You Hit Send — Double-Check</w:t>
      </w:r>
    </w:p>
    <w:p>
      <w:pPr>
        <w:pStyle w:val="ListBullet"/>
      </w:pPr>
      <w:r>
        <w:rPr>
          <w:sz w:val="21"/>
        </w:rPr>
        <w:t>Confirm the Pro plan upgrade is complete in the Supabase dashboard. BAAs are only issued for paid tiers.</w:t>
      </w:r>
    </w:p>
    <w:p>
      <w:pPr>
        <w:pStyle w:val="ListBullet"/>
      </w:pPr>
      <w:r>
        <w:rPr>
          <w:sz w:val="21"/>
        </w:rPr>
        <w:t>Replace [YOUR-ORG-SLUG], [YOUR-PROJECT-ID], and [DATE] with the actual values.</w:t>
      </w:r>
    </w:p>
    <w:p>
      <w:pPr>
        <w:pStyle w:val="ListBullet"/>
      </w:pPr>
      <w:r>
        <w:rPr>
          <w:sz w:val="21"/>
        </w:rPr>
        <w:t>If FFH has multiple Supabase projects (production + staging), list them all; Supabase scopes BAAs per project.</w:t>
      </w:r>
    </w:p>
    <w:p>
      <w:pPr>
        <w:pStyle w:val="ListBullet"/>
      </w:pPr>
      <w:r>
        <w:rPr>
          <w:sz w:val="21"/>
        </w:rPr>
        <w:t>Have counsel review the executed BAA before signing. Key clauses: breach notification window, subcontractor flow-down, termination, indemnification caps.</w:t>
      </w:r>
    </w:p>
    <w:p>
      <w:pPr>
        <w:spacing w:before="200" w:after="80"/>
      </w:pPr>
      <w:r>
        <w:rPr>
          <w:b/>
          <w:color w:val="0F2044"/>
          <w:sz w:val="26"/>
        </w:rPr>
        <w:t>4. What Supabase Will Send Back</w:t>
      </w:r>
    </w:p>
    <w:p>
      <w:pPr>
        <w:spacing w:after="120"/>
      </w:pPr>
      <w:r>
        <w:rPr>
          <w:sz w:val="21"/>
        </w:rPr>
        <w:t>Supabase uses a standard BAA template (reviewed by their counsel at Cooley). Common clauses you should verify against FFH's standard:</w:t>
      </w:r>
    </w:p>
    <w:p>
      <w:pPr>
        <w:pStyle w:val="ListBullet"/>
      </w:pPr>
      <w:r>
        <w:rPr>
          <w:sz w:val="21"/>
        </w:rPr>
        <w:t>Breach notification: Supabase commits to notifying within 60 days of discovery (HIPAA minimum). FFH prefers 72 hours — acceptable to negotiate.</w:t>
      </w:r>
    </w:p>
    <w:p>
      <w:pPr>
        <w:pStyle w:val="ListBullet"/>
      </w:pPr>
      <w:r>
        <w:rPr>
          <w:sz w:val="21"/>
        </w:rPr>
        <w:t>Subcontractor flow-down: confirms all Supabase subprocessors (AWS, Cloudflare, etc.) are bound equivalently.</w:t>
      </w:r>
    </w:p>
    <w:p>
      <w:pPr>
        <w:pStyle w:val="ListBullet"/>
      </w:pPr>
      <w:r>
        <w:rPr>
          <w:sz w:val="21"/>
        </w:rPr>
        <w:t>Minimum necessary: Supabase only uses/discloses PHI as needed to provide the service.</w:t>
      </w:r>
    </w:p>
    <w:p>
      <w:pPr>
        <w:pStyle w:val="ListBullet"/>
      </w:pPr>
      <w:r>
        <w:rPr>
          <w:sz w:val="21"/>
        </w:rPr>
        <w:t>Termination: right to terminate if breach is uncured; Supabase returns/destroys PHI within 30 days.</w:t>
      </w:r>
    </w:p>
    <w:p>
      <w:pPr>
        <w:pStyle w:val="ListBullet"/>
      </w:pPr>
      <w:r>
        <w:rPr>
          <w:sz w:val="21"/>
        </w:rPr>
        <w:t>Liability: typically capped at 12 months of fees paid; negotiable if FFH has PHI volume triggering higher risk.</w:t>
      </w:r>
    </w:p>
    <w:p>
      <w:pPr>
        <w:spacing w:before="200" w:after="80"/>
      </w:pPr>
      <w:r>
        <w:rPr>
          <w:b/>
          <w:color w:val="0F2044"/>
          <w:sz w:val="26"/>
        </w:rPr>
        <w:t>5. Cost &amp; Impact Summary</w:t>
      </w:r>
    </w:p>
    <w:p>
      <w:pPr>
        <w:spacing w:after="120"/>
      </w:pPr>
      <w:r>
        <w:rPr>
          <w:sz w:val="21"/>
        </w:rPr>
        <w:t>Supabase Pro: $25/mo/project ($300/year). Two projects (prod + staging) = $600/year. Minor cost compared to any HIPAA breach penalty (HHS OCR fines start at $100/violation and scale to $1.5M/year for willful neglect).</w:t>
      </w:r>
    </w:p>
    <w:p/>
    <w:p>
      <w:r>
        <w:rPr>
          <w:i/>
          <w:color w:val="6B7A99"/>
          <w:sz w:val="18"/>
        </w:rPr>
        <w:t>FFH Compliance Office · compliance@forceforhealth.com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