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0F2044"/>
          <w:sz w:val="22"/>
        </w:rPr>
        <w:t>THE FORCE FOR HEALTH NETWORK</w:t>
      </w:r>
    </w:p>
    <w:p>
      <w:pPr>
        <w:spacing w:after="280"/>
      </w:pPr>
      <w:r>
        <w:rPr>
          <w:i/>
          <w:color w:val="6B7A99"/>
          <w:sz w:val="18"/>
        </w:rPr>
        <w:t>Compliance · Unblocker Packet</w:t>
      </w:r>
    </w:p>
    <w:p>
      <w:pPr>
        <w:spacing w:after="80"/>
      </w:pPr>
      <w:r>
        <w:rPr>
          <w:b/>
          <w:color w:val="0F2044"/>
          <w:sz w:val="36"/>
        </w:rPr>
        <w:t>Penetration Test Vendor Comparison &amp; Recommendation</w:t>
      </w:r>
    </w:p>
    <w:p>
      <w:pPr>
        <w:spacing w:after="320"/>
      </w:pPr>
      <w:r>
        <w:rPr>
          <w:i/>
          <w:color w:val="E8450A"/>
          <w:sz w:val="18"/>
        </w:rPr>
        <w:t>Version 1.0 · April 17, 2026 · For Internal &amp; Vendor Use</w:t>
      </w:r>
    </w:p>
    <w:p>
      <w:pPr>
        <w:spacing w:after="120"/>
      </w:pPr>
      <w:r>
        <w:rPr>
          <w:sz w:val="21"/>
        </w:rPr>
        <w:t>This packet compares the four most common paths FFH can take to stand up third-party security testing, maps each to our stage and needs, and ends with a recommended first engagement. It satisfies Compliance Gap G-013 (target evaluation date 2026-09-30).</w:t>
      </w:r>
    </w:p>
    <w:p>
      <w:pPr>
        <w:spacing w:before="200" w:after="80"/>
      </w:pPr>
      <w:r>
        <w:rPr>
          <w:b/>
          <w:color w:val="0F2044"/>
          <w:sz w:val="26"/>
        </w:rPr>
        <w:t>1. FFH's Current State</w:t>
      </w:r>
    </w:p>
    <w:p>
      <w:pPr>
        <w:pStyle w:val="ListBullet"/>
      </w:pPr>
      <w:r>
        <w:rPr>
          <w:sz w:val="21"/>
        </w:rPr>
        <w:t>Stack: Supabase (Postgres + Auth + Storage), Vercel (static + serverless), single-file HTML apps, GitHub source control, Anthropic Claude API for Coach Lucy.</w:t>
      </w:r>
    </w:p>
    <w:p>
      <w:pPr>
        <w:pStyle w:val="ListBullet"/>
      </w:pPr>
      <w:r>
        <w:rPr>
          <w:sz w:val="21"/>
        </w:rPr>
        <w:t>Data sensitivity: HIPAA-covered PHI via Live It Trackers; FERPA-protected student records via Project Manager IDEAS.</w:t>
      </w:r>
    </w:p>
    <w:p>
      <w:pPr>
        <w:pStyle w:val="ListBullet"/>
      </w:pPr>
      <w:r>
        <w:rPr>
          <w:sz w:val="21"/>
        </w:rPr>
        <w:t>Compliance posture: strong on encryption, consent, audit logging. Weakest area: no formal Incident Response Plan (G-014), no prior pentest, no SOC 2 certification.</w:t>
      </w:r>
    </w:p>
    <w:p>
      <w:pPr>
        <w:pStyle w:val="ListBullet"/>
      </w:pPr>
      <w:r>
        <w:rPr>
          <w:sz w:val="21"/>
        </w:rPr>
        <w:t>Goal: demonstrate to school districts, health systems, and chambers that FFH has a third-party validation of its security posture.</w:t>
      </w:r>
    </w:p>
    <w:p>
      <w:pPr>
        <w:spacing w:before="200" w:after="80"/>
      </w:pPr>
      <w:r>
        <w:rPr>
          <w:b/>
          <w:color w:val="0F2044"/>
          <w:sz w:val="26"/>
        </w:rPr>
        <w:t>2. Four Options Compared</w:t>
      </w:r>
    </w:p>
    <w:p>
      <w:pPr>
        <w:spacing w:before="120" w:after="40"/>
      </w:pPr>
      <w:r>
        <w:rPr>
          <w:b/>
          <w:color w:val="E8450A"/>
          <w:sz w:val="22"/>
        </w:rPr>
        <w:t>Option A — Vanta (Compliance Automation + Pentest Add-On)</w:t>
      </w:r>
    </w:p>
    <w:p>
      <w:pPr>
        <w:spacing w:after="120"/>
      </w:pPr>
      <w:r>
        <w:rPr>
          <w:sz w:val="21"/>
        </w:rPr>
        <w:t>Vanta is continuous compliance monitoring software that ties together SOC 2 evidence, vendor risk, employee security training, and now includes an integrated pentest marketplace.</w:t>
      </w:r>
    </w:p>
    <w:p>
      <w:pPr>
        <w:pStyle w:val="ListBullet"/>
      </w:pPr>
      <w:r>
        <w:rPr>
          <w:sz w:val="21"/>
        </w:rPr>
        <w:t>Cost: $8K–$15K/year for the platform + $8K–$15K for a pentest add-on.</w:t>
      </w:r>
    </w:p>
    <w:p>
      <w:pPr>
        <w:pStyle w:val="ListBullet"/>
      </w:pPr>
      <w:r>
        <w:rPr>
          <w:sz w:val="21"/>
        </w:rPr>
        <w:t>Delivers: Continuous SOC 2 readiness + one-time pentest report + ongoing vendor risk tracking.</w:t>
      </w:r>
    </w:p>
    <w:p>
      <w:pPr>
        <w:pStyle w:val="ListBullet"/>
      </w:pPr>
      <w:r>
        <w:rPr>
          <w:sz w:val="21"/>
        </w:rPr>
        <w:t>Strengths: Fast path to SOC 2 Type I/II. Auditors know Vanta reports. Reduces Lucy's manual evidence collection burden.</w:t>
      </w:r>
    </w:p>
    <w:p>
      <w:pPr>
        <w:pStyle w:val="ListBullet"/>
      </w:pPr>
      <w:r>
        <w:rPr>
          <w:sz w:val="21"/>
        </w:rPr>
        <w:t>Weaknesses: Locks FFH into the platform; annual cost keeps accruing. Pentest is via a network of vendors, quality varies.</w:t>
      </w:r>
    </w:p>
    <w:p>
      <w:pPr>
        <w:spacing w:before="120" w:after="40"/>
      </w:pPr>
      <w:r>
        <w:rPr>
          <w:b/>
          <w:color w:val="E8450A"/>
          <w:sz w:val="22"/>
        </w:rPr>
        <w:t>Option B — Drata (Direct Competitor to Vanta)</w:t>
      </w:r>
    </w:p>
    <w:p>
      <w:pPr>
        <w:spacing w:after="120"/>
      </w:pPr>
      <w:r>
        <w:rPr>
          <w:sz w:val="21"/>
        </w:rPr>
        <w:t>Similar positioning to Vanta. Strong in healthcare-focused SOC 2 and HIPAA controls.</w:t>
      </w:r>
    </w:p>
    <w:p>
      <w:pPr>
        <w:pStyle w:val="ListBullet"/>
      </w:pPr>
      <w:r>
        <w:rPr>
          <w:sz w:val="21"/>
        </w:rPr>
        <w:t>Cost: $10K–$18K/year; pentest add-on $10K–$18K.</w:t>
      </w:r>
    </w:p>
    <w:p>
      <w:pPr>
        <w:pStyle w:val="ListBullet"/>
      </w:pPr>
      <w:r>
        <w:rPr>
          <w:sz w:val="21"/>
        </w:rPr>
        <w:t>Delivers: SOC 2 + HIPAA automation + pentest sourcing + continuous monitoring.</w:t>
      </w:r>
    </w:p>
    <w:p>
      <w:pPr>
        <w:pStyle w:val="ListBullet"/>
      </w:pPr>
      <w:r>
        <w:rPr>
          <w:sz w:val="21"/>
        </w:rPr>
        <w:t>Strengths: Better HIPAA tooling than Vanta out of the box. Good fit for FFH's healthcare posture.</w:t>
      </w:r>
    </w:p>
    <w:p>
      <w:pPr>
        <w:pStyle w:val="ListBullet"/>
      </w:pPr>
      <w:r>
        <w:rPr>
          <w:sz w:val="21"/>
        </w:rPr>
        <w:t>Weaknesses: Similar cost lock-in. Early-stage UX still maturing.</w:t>
      </w:r>
    </w:p>
    <w:p>
      <w:pPr>
        <w:spacing w:before="120" w:after="40"/>
      </w:pPr>
      <w:r>
        <w:rPr>
          <w:b/>
          <w:color w:val="E8450A"/>
          <w:sz w:val="22"/>
        </w:rPr>
        <w:t>Option C — Secureframe</w:t>
      </w:r>
    </w:p>
    <w:p>
      <w:pPr>
        <w:spacing w:after="120"/>
      </w:pPr>
      <w:r>
        <w:rPr>
          <w:sz w:val="21"/>
        </w:rPr>
        <w:t>Third in the automation trio. Lower price point; lighter feature set.</w:t>
      </w:r>
    </w:p>
    <w:p>
      <w:pPr>
        <w:pStyle w:val="ListBullet"/>
      </w:pPr>
      <w:r>
        <w:rPr>
          <w:sz w:val="21"/>
        </w:rPr>
        <w:t>Cost: $6K–$12K/year; pentest often bundled or $8K–$12K add-on.</w:t>
      </w:r>
    </w:p>
    <w:p>
      <w:pPr>
        <w:pStyle w:val="ListBullet"/>
      </w:pPr>
      <w:r>
        <w:rPr>
          <w:sz w:val="21"/>
        </w:rPr>
        <w:t>Delivers: SOC 2 + HIPAA + ISO 27001 readiness + pentest coordination.</w:t>
      </w:r>
    </w:p>
    <w:p>
      <w:pPr>
        <w:pStyle w:val="ListBullet"/>
      </w:pPr>
      <w:r>
        <w:rPr>
          <w:sz w:val="21"/>
        </w:rPr>
        <w:t>Strengths: Lowest total cost of the platform trio. Strong for first-time compliance org.</w:t>
      </w:r>
    </w:p>
    <w:p>
      <w:pPr>
        <w:pStyle w:val="ListBullet"/>
      </w:pPr>
      <w:r>
        <w:rPr>
          <w:sz w:val="21"/>
        </w:rPr>
        <w:t>Weaknesses: Smaller pentest vendor pool; less brand recognition with auditors.</w:t>
      </w:r>
    </w:p>
    <w:p>
      <w:pPr>
        <w:spacing w:before="120" w:after="40"/>
      </w:pPr>
      <w:r>
        <w:rPr>
          <w:b/>
          <w:color w:val="E8450A"/>
          <w:sz w:val="22"/>
        </w:rPr>
        <w:t>Option D — Direct Pentest Firm (No Platform)</w:t>
      </w:r>
    </w:p>
    <w:p>
      <w:pPr>
        <w:spacing w:after="120"/>
      </w:pPr>
      <w:r>
        <w:rPr>
          <w:sz w:val="21"/>
        </w:rPr>
        <w:t>Hire a pentest firm directly — no automation platform. Best for a targeted engagement without multi-year commitment.</w:t>
      </w:r>
    </w:p>
    <w:p>
      <w:pPr>
        <w:pStyle w:val="ListBullet"/>
      </w:pPr>
      <w:r>
        <w:rPr>
          <w:sz w:val="21"/>
        </w:rPr>
        <w:t>Cost: $5K–$20K for a single engagement, depending on scope.</w:t>
      </w:r>
    </w:p>
    <w:p>
      <w:pPr>
        <w:pStyle w:val="ListBullet"/>
      </w:pPr>
      <w:r>
        <w:rPr>
          <w:sz w:val="21"/>
        </w:rPr>
        <w:t>Top-tier firms: Bishop Fox, Cure53, Include Security, Latacora, Praetorian. Mid-tier: Cobalt (as-a-service), HackerOne (bug bounty + pentest).</w:t>
      </w:r>
    </w:p>
    <w:p>
      <w:pPr>
        <w:pStyle w:val="ListBullet"/>
      </w:pPr>
      <w:r>
        <w:rPr>
          <w:sz w:val="21"/>
        </w:rPr>
        <w:t>Delivers: Deep, hands-on testing; narrative report; remediation retest.</w:t>
      </w:r>
    </w:p>
    <w:p>
      <w:pPr>
        <w:pStyle w:val="ListBullet"/>
      </w:pPr>
      <w:r>
        <w:rPr>
          <w:sz w:val="21"/>
        </w:rPr>
        <w:t>Strengths: Highest quality results per dollar. No subscription lock-in. Report is the real currency for procurement.</w:t>
      </w:r>
    </w:p>
    <w:p>
      <w:pPr>
        <w:pStyle w:val="ListBullet"/>
      </w:pPr>
      <w:r>
        <w:rPr>
          <w:sz w:val="21"/>
        </w:rPr>
        <w:t>Weaknesses: No continuous monitoring. Compliance evidence collection stays manual.</w:t>
      </w:r>
    </w:p>
    <w:p>
      <w:pPr>
        <w:spacing w:before="200" w:after="80"/>
      </w:pPr>
      <w:r>
        <w:rPr>
          <w:b/>
          <w:color w:val="0F2044"/>
          <w:sz w:val="26"/>
        </w:rPr>
        <w:t>3. Recommendation for FFH's First Engagement</w:t>
      </w:r>
    </w:p>
    <w:p>
      <w:pPr>
        <w:spacing w:after="120"/>
      </w:pPr>
      <w:r>
        <w:rPr>
          <w:sz w:val="21"/>
        </w:rPr>
        <w:t>RECOMMENDED: Option D (direct pentest firm) for the first engagement, with a strong shortlist of Cobalt and Include Security.</w:t>
      </w:r>
    </w:p>
    <w:p>
      <w:pPr>
        <w:spacing w:after="120"/>
      </w:pPr>
      <w:r>
        <w:rPr>
          <w:sz w:val="21"/>
        </w:rPr>
        <w:t>Rationale:</w:t>
      </w:r>
    </w:p>
    <w:p>
      <w:pPr>
        <w:pStyle w:val="ListBullet"/>
      </w:pPr>
      <w:r>
        <w:rPr>
          <w:sz w:val="21"/>
        </w:rPr>
        <w:t>FFH's platform is small and well-defined: a handful of HTML apps, Supabase backend, Vercel functions. A focused 2-week pentest covers it well.</w:t>
      </w:r>
    </w:p>
    <w:p>
      <w:pPr>
        <w:pStyle w:val="ListBullet"/>
      </w:pPr>
      <w:r>
        <w:rPr>
          <w:sz w:val="21"/>
        </w:rPr>
        <w:t>The real deliverable procurement teams want is a signed pentest report dated within the last 12 months. Any of these firms produce that.</w:t>
      </w:r>
    </w:p>
    <w:p>
      <w:pPr>
        <w:pStyle w:val="ListBullet"/>
      </w:pPr>
      <w:r>
        <w:rPr>
          <w:sz w:val="21"/>
        </w:rPr>
        <w:t>SOC 2 is a Phase 2 conversation (once the Foundation has sustained revenue that triggers enterprise procurement). Vanta/Drata make sense then — not now.</w:t>
      </w:r>
    </w:p>
    <w:p>
      <w:pPr>
        <w:pStyle w:val="ListBullet"/>
      </w:pPr>
      <w:r>
        <w:rPr>
          <w:sz w:val="21"/>
        </w:rPr>
        <w:t>A $10K–$15K direct pentest now preserves capital AND produces the trust signal Chambers and health systems are asking for.</w:t>
      </w:r>
    </w:p>
    <w:p>
      <w:pPr>
        <w:spacing w:before="200" w:after="80"/>
      </w:pPr>
      <w:r>
        <w:rPr>
          <w:b/>
          <w:color w:val="0F2044"/>
          <w:sz w:val="26"/>
        </w:rPr>
        <w:t>4. Proposed First Engagement</w:t>
      </w:r>
    </w:p>
    <w:p>
      <w:pPr>
        <w:pStyle w:val="ListBullet"/>
      </w:pPr>
      <w:r>
        <w:rPr>
          <w:sz w:val="21"/>
        </w:rPr>
        <w:t>Vendor: Cobalt (managed pentest-as-a-service, ~$10K/engagement) OR Include Security (white-glove, ~$15K).</w:t>
      </w:r>
    </w:p>
    <w:p>
      <w:pPr>
        <w:pStyle w:val="ListBullet"/>
      </w:pPr>
      <w:r>
        <w:rPr>
          <w:sz w:val="21"/>
        </w:rPr>
        <w:t>Scope: Supabase config, Vercel functions, authentication flow, PHI/FERPA RLS policies, session management, consent flow, top 5 participant-facing pages.</w:t>
      </w:r>
    </w:p>
    <w:p>
      <w:pPr>
        <w:pStyle w:val="ListBullet"/>
      </w:pPr>
      <w:r>
        <w:rPr>
          <w:sz w:val="21"/>
        </w:rPr>
        <w:t>Timeline: 2 weeks testing + 1 week reporting + 1 week FFH remediation + 1 week retest = 5 weeks total.</w:t>
      </w:r>
    </w:p>
    <w:p>
      <w:pPr>
        <w:pStyle w:val="ListBullet"/>
      </w:pPr>
      <w:r>
        <w:rPr>
          <w:sz w:val="21"/>
        </w:rPr>
        <w:t>Target kickoff: August 2026 (after Supabase BAA is signed and Live It Trackers are fully live).</w:t>
      </w:r>
    </w:p>
    <w:p>
      <w:pPr>
        <w:pStyle w:val="ListBullet"/>
      </w:pPr>
      <w:r>
        <w:rPr>
          <w:sz w:val="21"/>
        </w:rPr>
        <w:t>Budget line item: $15,000 (buffer included).</w:t>
      </w:r>
    </w:p>
    <w:p>
      <w:pPr>
        <w:spacing w:before="200" w:after="80"/>
      </w:pPr>
      <w:r>
        <w:rPr>
          <w:b/>
          <w:color w:val="0F2044"/>
          <w:sz w:val="26"/>
        </w:rPr>
        <w:t>5. Next Steps</w:t>
      </w:r>
    </w:p>
    <w:p>
      <w:pPr>
        <w:pStyle w:val="ListNumber"/>
      </w:pPr>
      <w:r>
        <w:rPr>
          <w:sz w:val="21"/>
        </w:rPr>
        <w:t>Review this comparison in the weekly exec sync.</w:t>
      </w:r>
    </w:p>
    <w:p>
      <w:pPr>
        <w:pStyle w:val="ListNumber"/>
      </w:pPr>
      <w:r>
        <w:rPr>
          <w:sz w:val="21"/>
        </w:rPr>
        <w:t>Request statements of work from 2 vendors (Cobalt + Include Security) in June 2026.</w:t>
      </w:r>
    </w:p>
    <w:p>
      <w:pPr>
        <w:pStyle w:val="ListNumber"/>
      </w:pPr>
      <w:r>
        <w:rPr>
          <w:sz w:val="21"/>
        </w:rPr>
        <w:t>Select + kick off in August 2026.</w:t>
      </w:r>
    </w:p>
    <w:p>
      <w:pPr>
        <w:pStyle w:val="ListNumber"/>
      </w:pPr>
      <w:r>
        <w:rPr>
          <w:sz w:val="21"/>
        </w:rPr>
        <w:t>Post results to Super Admin Compliance page once a remediation pass is complete.</w:t>
      </w:r>
    </w:p>
    <w:p/>
    <w:p>
      <w:r>
        <w:rPr>
          <w:i/>
          <w:color w:val="6B7A99"/>
          <w:sz w:val="18"/>
        </w:rPr>
        <w:t>FFH Compliance Office · compliance@forceforhealth.com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